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entury Gothic" w:cs="Century Gothic" w:eastAsia="Century Gothic" w:hAnsi="Century Gothic"/>
          <w:b w:val="1"/>
          <w:color w:val="66bc58"/>
          <w:sz w:val="25"/>
          <w:szCs w:val="25"/>
        </w:rPr>
      </w:pPr>
      <w:r w:rsidDel="00000000" w:rsidR="00000000" w:rsidRPr="00000000">
        <w:rPr>
          <w:rFonts w:ascii="Century Gothic" w:cs="Century Gothic" w:eastAsia="Century Gothic" w:hAnsi="Century Gothic"/>
          <w:b w:val="1"/>
          <w:color w:val="66bc58"/>
          <w:sz w:val="24"/>
          <w:szCs w:val="24"/>
          <w:rtl w:val="0"/>
        </w:rPr>
        <w:t xml:space="preserve">Step 1- </w:t>
      </w:r>
      <w:r w:rsidDel="00000000" w:rsidR="00000000" w:rsidRPr="00000000">
        <w:rPr>
          <w:rFonts w:ascii="Century Gothic" w:cs="Century Gothic" w:eastAsia="Century Gothic" w:hAnsi="Century Gothic"/>
          <w:b w:val="1"/>
          <w:color w:val="66bc58"/>
          <w:sz w:val="25"/>
          <w:szCs w:val="25"/>
          <w:rtl w:val="0"/>
        </w:rPr>
        <w:t xml:space="preserve">Extent Local Wellness Policy Complies with USDA Requirements and </w:t>
      </w:r>
    </w:p>
    <w:p w:rsidR="00000000" w:rsidDel="00000000" w:rsidP="00000000" w:rsidRDefault="00000000" w:rsidRPr="00000000" w14:paraId="00000002">
      <w:pPr>
        <w:spacing w:after="0" w:line="240" w:lineRule="auto"/>
        <w:jc w:val="center"/>
        <w:rPr>
          <w:rFonts w:ascii="Century Gothic" w:cs="Century Gothic" w:eastAsia="Century Gothic" w:hAnsi="Century Gothic"/>
          <w:b w:val="1"/>
          <w:color w:val="66bc58"/>
          <w:sz w:val="18"/>
          <w:szCs w:val="18"/>
        </w:rPr>
      </w:pPr>
      <w:r w:rsidDel="00000000" w:rsidR="00000000" w:rsidRPr="00000000">
        <w:rPr>
          <w:rFonts w:ascii="Century Gothic" w:cs="Century Gothic" w:eastAsia="Century Gothic" w:hAnsi="Century Gothic"/>
          <w:b w:val="1"/>
          <w:color w:val="66bc58"/>
          <w:sz w:val="25"/>
          <w:szCs w:val="25"/>
          <w:rtl w:val="0"/>
        </w:rPr>
        <w:t xml:space="preserve">Compares to a Model Policy Tracking Tool</w:t>
      </w:r>
      <w:r w:rsidDel="00000000" w:rsidR="00000000" w:rsidRPr="00000000">
        <w:rPr>
          <w:rtl w:val="0"/>
        </w:rPr>
      </w:r>
    </w:p>
    <w:p w:rsidR="00000000" w:rsidDel="00000000" w:rsidP="00000000" w:rsidRDefault="00000000" w:rsidRPr="00000000" w14:paraId="00000003">
      <w:pPr>
        <w:spacing w:after="0" w:line="240" w:lineRule="auto"/>
        <w:jc w:val="center"/>
        <w:rPr>
          <w:rFonts w:ascii="Century Gothic" w:cs="Century Gothic" w:eastAsia="Century Gothic" w:hAnsi="Century Gothic"/>
          <w:b w:val="1"/>
          <w:color w:val="66bc58"/>
          <w:sz w:val="18"/>
          <w:szCs w:val="18"/>
        </w:rPr>
      </w:pPr>
      <w:r w:rsidDel="00000000" w:rsidR="00000000" w:rsidRPr="00000000">
        <w:rPr>
          <w:rtl w:val="0"/>
        </w:rPr>
      </w:r>
    </w:p>
    <w:tbl>
      <w:tblPr>
        <w:tblStyle w:val="Table1"/>
        <w:tblW w:w="9350.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3235"/>
        <w:gridCol w:w="6115"/>
        <w:tblGridChange w:id="0">
          <w:tblGrid>
            <w:gridCol w:w="3235"/>
            <w:gridCol w:w="6115"/>
          </w:tblGrid>
        </w:tblGridChange>
      </w:tblGrid>
      <w:tr>
        <w:trPr>
          <w:cantSplit w:val="0"/>
          <w:trHeight w:val="368" w:hRule="atLeast"/>
          <w:tblHeader w:val="1"/>
        </w:trPr>
        <w:tc>
          <w:tcPr/>
          <w:p w:rsidR="00000000" w:rsidDel="00000000" w:rsidP="00000000" w:rsidRDefault="00000000" w:rsidRPr="00000000" w14:paraId="00000004">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Component</w:t>
            </w:r>
          </w:p>
        </w:tc>
        <w:tc>
          <w:tcPr/>
          <w:p w:rsidR="00000000" w:rsidDel="00000000" w:rsidP="00000000" w:rsidRDefault="00000000" w:rsidRPr="00000000" w14:paraId="00000005">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Description</w:t>
            </w:r>
          </w:p>
        </w:tc>
      </w:tr>
      <w:tr>
        <w:trPr>
          <w:cantSplit w:val="0"/>
          <w:tblHeader w:val="0"/>
        </w:trPr>
        <w:tc>
          <w:tcPr/>
          <w:p w:rsidR="00000000" w:rsidDel="00000000" w:rsidP="00000000" w:rsidRDefault="00000000" w:rsidRPr="00000000" w14:paraId="00000006">
            <w:pPr>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Select the Tool used for model LSWP comparison, upload the assessment in your folder:</w:t>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another tool was used, list it here.</w:t>
            </w:r>
          </w:p>
        </w:tc>
        <w:tc>
          <w:tcPr>
            <w:shd w:fill="9cc3e5" w:val="clear"/>
          </w:tcPr>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fcfbf9" w:val="clear"/>
              <w:spacing w:after="0" w:before="240" w:line="240" w:lineRule="auto"/>
              <w:ind w:left="720" w:right="0" w:hanging="360"/>
              <w:jc w:val="left"/>
              <w:rPr>
                <w:rFonts w:ascii="Century Gothic" w:cs="Century Gothic" w:eastAsia="Century Gothic" w:hAnsi="Century Gothic"/>
                <w:b w:val="1"/>
                <w:color w:val="66bc58"/>
                <w:u w:val="none"/>
              </w:rPr>
            </w:pPr>
            <w:hyperlink r:id="rId7">
              <w:r w:rsidDel="00000000" w:rsidR="00000000" w:rsidRPr="00000000">
                <w:rPr>
                  <w:rFonts w:ascii="Century Gothic" w:cs="Century Gothic" w:eastAsia="Century Gothic" w:hAnsi="Century Gothic"/>
                  <w:b w:val="1"/>
                  <w:color w:val="66bc58"/>
                  <w:u w:val="single"/>
                  <w:rtl w:val="0"/>
                </w:rPr>
                <w:t xml:space="preserve">Alliance for a Healthier Generation 10-step Checklis</w:t>
              </w:r>
            </w:hyperlink>
            <w:hyperlink r:id="rId8">
              <w:r w:rsidDel="00000000" w:rsidR="00000000" w:rsidRPr="00000000">
                <w:rPr>
                  <w:rFonts w:ascii="Century Gothic" w:cs="Century Gothic" w:eastAsia="Century Gothic" w:hAnsi="Century Gothic"/>
                  <w:b w:val="1"/>
                  <w:color w:val="66bc58"/>
                  <w:highlight w:val="white"/>
                  <w:u w:val="single"/>
                  <w:rtl w:val="0"/>
                </w:rPr>
                <w:t xml:space="preserve">t</w:t>
              </w:r>
            </w:hyperlink>
            <w:r w:rsidDel="00000000" w:rsidR="00000000" w:rsidRPr="00000000">
              <w:rPr>
                <w:rFonts w:ascii="Century Gothic" w:cs="Century Gothic" w:eastAsia="Century Gothic" w:hAnsi="Century Gothic"/>
                <w:b w:val="1"/>
                <w:color w:val="66bc58"/>
                <w:sz w:val="20"/>
                <w:szCs w:val="20"/>
                <w:highlight w:val="yellow"/>
                <w:rtl w:val="0"/>
              </w:rPr>
              <w:t xml:space="preserve"> </w:t>
            </w:r>
            <w:r w:rsidDel="00000000" w:rsidR="00000000" w:rsidRPr="00000000">
              <w:rPr>
                <w:rtl w:val="0"/>
              </w:rPr>
            </w:r>
          </w:p>
          <w:p w:rsidR="00000000" w:rsidDel="00000000" w:rsidP="00000000" w:rsidRDefault="00000000" w:rsidRPr="00000000" w14:paraId="00000009">
            <w:pPr>
              <w:keepNext w:val="0"/>
              <w:keepLines w:val="1"/>
              <w:widowControl w:val="1"/>
              <w:numPr>
                <w:ilvl w:val="0"/>
                <w:numId w:val="1"/>
              </w:numPr>
              <w:pBdr>
                <w:top w:space="0" w:sz="0" w:val="nil"/>
                <w:left w:space="0" w:sz="0" w:val="nil"/>
                <w:bottom w:space="0" w:sz="0" w:val="nil"/>
                <w:right w:space="0" w:sz="0" w:val="nil"/>
                <w:between w:space="0" w:sz="0" w:val="nil"/>
              </w:pBdr>
              <w:shd w:fill="fcfbf9" w:val="clear"/>
              <w:spacing w:after="0" w:before="0" w:line="240" w:lineRule="auto"/>
              <w:ind w:left="720" w:right="0" w:hanging="360"/>
              <w:jc w:val="left"/>
              <w:rPr>
                <w:rFonts w:ascii="Century Gothic" w:cs="Century Gothic" w:eastAsia="Century Gothic" w:hAnsi="Century Gothic"/>
                <w:b w:val="1"/>
                <w:i w:val="0"/>
                <w:smallCaps w:val="0"/>
                <w:strike w:val="0"/>
                <w:sz w:val="20"/>
                <w:szCs w:val="20"/>
                <w:u w:val="none"/>
                <w:shd w:fill="auto" w:val="clear"/>
                <w:vertAlign w:val="baseline"/>
              </w:rPr>
            </w:pPr>
            <w:hyperlink r:id="rId9">
              <w:r w:rsidDel="00000000" w:rsidR="00000000" w:rsidRPr="00000000">
                <w:rPr>
                  <w:rFonts w:ascii="Century Gothic" w:cs="Century Gothic" w:eastAsia="Century Gothic" w:hAnsi="Century Gothic"/>
                  <w:b w:val="1"/>
                  <w:i w:val="0"/>
                  <w:smallCaps w:val="0"/>
                  <w:strike w:val="0"/>
                  <w:color w:val="66bc58"/>
                  <w:sz w:val="20"/>
                  <w:szCs w:val="20"/>
                  <w:u w:val="single"/>
                  <w:shd w:fill="auto" w:val="clear"/>
                  <w:vertAlign w:val="baseline"/>
                  <w:rtl w:val="0"/>
                </w:rPr>
                <w:t xml:space="preserve">The WellSAT 3.0 School Assessment Tool</w:t>
              </w:r>
            </w:hyperlink>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sz w:val="24"/>
                <w:szCs w:val="24"/>
              </w:rPr>
            </w:pPr>
            <w:r w:rsidDel="00000000" w:rsidR="00000000" w:rsidRPr="00000000">
              <w:rPr>
                <w:rtl w:val="0"/>
              </w:rPr>
            </w:r>
          </w:p>
        </w:tc>
      </w:tr>
      <w:tr>
        <w:trPr>
          <w:cantSplit w:val="0"/>
          <w:trHeight w:val="1016" w:hRule="atLeast"/>
          <w:tblHeader w:val="0"/>
        </w:trPr>
        <w:tc>
          <w:tcPr>
            <w:vMerge w:val="restart"/>
          </w:tcPr>
          <w:p w:rsidR="00000000" w:rsidDel="00000000" w:rsidP="00000000" w:rsidRDefault="00000000" w:rsidRPr="00000000" w14:paraId="0000000B">
            <w:pPr>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Areas of Strength: </w:t>
            </w:r>
          </w:p>
        </w:tc>
        <w:tc>
          <w:tcPr/>
          <w:p w:rsidR="00000000" w:rsidDel="00000000" w:rsidP="00000000" w:rsidRDefault="00000000" w:rsidRPr="00000000" w14:paraId="0000000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Just Move It walking program for elementary students</w:t>
            </w:r>
          </w:p>
        </w:tc>
      </w:tr>
      <w:tr>
        <w:trPr>
          <w:cantSplit w:val="0"/>
          <w:trHeight w:val="980"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0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w:t>
            </w:r>
            <w:r w:rsidDel="00000000" w:rsidR="00000000" w:rsidRPr="00000000">
              <w:rPr>
                <w:rFonts w:ascii="Century Gothic" w:cs="Century Gothic" w:eastAsia="Century Gothic" w:hAnsi="Century Gothic"/>
                <w:sz w:val="24"/>
                <w:szCs w:val="24"/>
                <w:u w:val="single"/>
                <w:rtl w:val="0"/>
              </w:rPr>
              <w:t xml:space="preserve">Tales of a Well Wolf</w:t>
            </w:r>
            <w:r w:rsidDel="00000000" w:rsidR="00000000" w:rsidRPr="00000000">
              <w:rPr>
                <w:rFonts w:ascii="Century Gothic" w:cs="Century Gothic" w:eastAsia="Century Gothic" w:hAnsi="Century Gothic"/>
                <w:sz w:val="24"/>
                <w:szCs w:val="24"/>
                <w:rtl w:val="0"/>
              </w:rPr>
              <w:t xml:space="preserve"> wellness monthly newsletter providing health and wellness information schoolwide. </w:t>
            </w:r>
          </w:p>
        </w:tc>
      </w:tr>
      <w:tr>
        <w:trPr>
          <w:cantSplit w:val="0"/>
          <w:trHeight w:val="890" w:hRule="atLeast"/>
          <w:tblHeader w:val="0"/>
        </w:trPr>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1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Minutes of PE and recess for physical exercise in elementary.</w:t>
            </w:r>
          </w:p>
        </w:tc>
      </w:tr>
      <w:tr>
        <w:trPr>
          <w:cantSplit w:val="0"/>
          <w:trHeight w:val="980" w:hRule="atLeast"/>
          <w:tblHeader w:val="0"/>
        </w:trPr>
        <w:tc>
          <w:tcPr>
            <w:vMerge w:val="restart"/>
          </w:tcPr>
          <w:p w:rsidR="00000000" w:rsidDel="00000000" w:rsidP="00000000" w:rsidRDefault="00000000" w:rsidRPr="00000000" w14:paraId="00000011">
            <w:pPr>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Opportunities for Improvement</w:t>
            </w:r>
          </w:p>
        </w:tc>
        <w:tc>
          <w:tcPr/>
          <w:p w:rsidR="00000000" w:rsidDel="00000000" w:rsidP="00000000" w:rsidRDefault="00000000" w:rsidRPr="00000000" w14:paraId="0000001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Making nutritional options look more appealing with attractive bowls or baskets for presentation.</w:t>
            </w:r>
          </w:p>
        </w:tc>
      </w:tr>
      <w:tr>
        <w:trPr>
          <w:cantSplit w:val="0"/>
          <w:trHeight w:val="1070" w:hRule="atLeast"/>
          <w:tblHeader w:val="0"/>
        </w:trPr>
        <w:tc>
          <w:tcPr>
            <w:vMerge w:val="continue"/>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1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Encouraging more student lead menus and facilitating an understanding of nutritional requirements for meals by both staff and students.</w:t>
            </w:r>
          </w:p>
        </w:tc>
      </w:tr>
      <w:tr>
        <w:trPr>
          <w:cantSplit w:val="0"/>
          <w:trHeight w:val="1070" w:hRule="atLeast"/>
          <w:tblHeader w:val="0"/>
        </w:trPr>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c>
          <w:tcPr/>
          <w:p w:rsidR="00000000" w:rsidDel="00000000" w:rsidP="00000000" w:rsidRDefault="00000000" w:rsidRPr="00000000" w14:paraId="0000001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Promote walking safety and bike safety for students to encourage more physical activity for students going to and from school</w:t>
            </w:r>
          </w:p>
        </w:tc>
      </w:tr>
      <w:tr>
        <w:trPr>
          <w:cantSplit w:val="0"/>
          <w:tblHeader w:val="0"/>
        </w:trPr>
        <w:tc>
          <w:tcPr/>
          <w:p w:rsidR="00000000" w:rsidDel="00000000" w:rsidP="00000000" w:rsidRDefault="00000000" w:rsidRPr="00000000" w14:paraId="00000017">
            <w:pPr>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As a result of the comparison, was new language adopted in the LSWP?</w:t>
            </w:r>
          </w:p>
        </w:tc>
        <w:tc>
          <w:tcPr/>
          <w:p w:rsidR="00000000" w:rsidDel="00000000" w:rsidP="00000000" w:rsidRDefault="00000000" w:rsidRPr="00000000" w14:paraId="00000018">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☐xNo</w:t>
            </w:r>
          </w:p>
        </w:tc>
      </w:tr>
      <w:tr>
        <w:trPr>
          <w:cantSplit w:val="0"/>
          <w:trHeight w:val="1043" w:hRule="atLeast"/>
          <w:tblHeader w:val="0"/>
        </w:trPr>
        <w:tc>
          <w:tcPr/>
          <w:p w:rsidR="00000000" w:rsidDel="00000000" w:rsidP="00000000" w:rsidRDefault="00000000" w:rsidRPr="00000000" w14:paraId="0000001A">
            <w:pPr>
              <w:jc w:val="right"/>
              <w:rPr>
                <w:rFonts w:ascii="Century Gothic" w:cs="Century Gothic" w:eastAsia="Century Gothic" w:hAnsi="Century Gothic"/>
                <w:b w:val="0"/>
                <w:sz w:val="24"/>
                <w:szCs w:val="24"/>
              </w:rPr>
            </w:pPr>
            <w:r w:rsidDel="00000000" w:rsidR="00000000" w:rsidRPr="00000000">
              <w:rPr>
                <w:rFonts w:ascii="Century Gothic" w:cs="Century Gothic" w:eastAsia="Century Gothic" w:hAnsi="Century Gothic"/>
                <w:sz w:val="24"/>
                <w:szCs w:val="24"/>
                <w:rtl w:val="0"/>
              </w:rPr>
              <w:t xml:space="preserve">If yes, briefly describe what was adopted (include page numbers for new language if possible), </w:t>
            </w:r>
            <w:r w:rsidDel="00000000" w:rsidR="00000000" w:rsidRPr="00000000">
              <w:rPr>
                <w:rtl w:val="0"/>
              </w:rPr>
            </w:r>
          </w:p>
          <w:p w:rsidR="00000000" w:rsidDel="00000000" w:rsidP="00000000" w:rsidRDefault="00000000" w:rsidRPr="00000000" w14:paraId="0000001B">
            <w:pPr>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Have the changes been approved by the school board?</w:t>
            </w:r>
          </w:p>
        </w:tc>
        <w:tc>
          <w:tcPr/>
          <w:p w:rsidR="00000000" w:rsidDel="00000000" w:rsidP="00000000" w:rsidRDefault="00000000" w:rsidRPr="00000000" w14:paraId="0000001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Our group will look at policy changes but have not made any edits at this time. We feel that more input from the kitchen staff would help make the nutritional goals realistic and attainable. </w:t>
            </w:r>
          </w:p>
          <w:p w:rsidR="00000000" w:rsidDel="00000000" w:rsidP="00000000" w:rsidRDefault="00000000" w:rsidRPr="00000000" w14:paraId="0000001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☐Yes</w:t>
            </w:r>
          </w:p>
          <w:p w:rsidR="00000000" w:rsidDel="00000000" w:rsidP="00000000" w:rsidRDefault="00000000" w:rsidRPr="00000000" w14:paraId="00000020">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x☐No</w:t>
            </w:r>
          </w:p>
        </w:tc>
      </w:tr>
      <w:tr>
        <w:trPr>
          <w:cantSplit w:val="0"/>
          <w:trHeight w:val="1520" w:hRule="atLeast"/>
          <w:tblHeader w:val="0"/>
        </w:trPr>
        <w:tc>
          <w:tcPr/>
          <w:p w:rsidR="00000000" w:rsidDel="00000000" w:rsidP="00000000" w:rsidRDefault="00000000" w:rsidRPr="00000000" w14:paraId="00000022">
            <w:pPr>
              <w:jc w:val="righ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Describe the next steps for strengthening your LSWP.</w:t>
            </w:r>
          </w:p>
        </w:tc>
        <w:tc>
          <w:tcPr/>
          <w:p w:rsidR="00000000" w:rsidDel="00000000" w:rsidP="00000000" w:rsidRDefault="00000000" w:rsidRPr="00000000" w14:paraId="0000002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Our group will meet and divided up the different areas in our wellness policy to have smaller groups look at recommendations for changes and then meet again to discuss ideas and implement changes.</w:t>
            </w:r>
          </w:p>
        </w:tc>
      </w:tr>
    </w:tbl>
    <w:p w:rsidR="00000000" w:rsidDel="00000000" w:rsidP="00000000" w:rsidRDefault="00000000" w:rsidRPr="00000000" w14:paraId="00000024">
      <w:pPr>
        <w:rPr>
          <w:rFonts w:ascii="Century Gothic" w:cs="Century Gothic" w:eastAsia="Century Gothic" w:hAnsi="Century Gothic"/>
          <w:b w:val="1"/>
          <w:i w:val="1"/>
          <w:u w:val="single"/>
        </w:rPr>
      </w:pPr>
      <w:hyperlink r:id="rId10">
        <w:r w:rsidDel="00000000" w:rsidR="00000000" w:rsidRPr="00000000">
          <w:rPr>
            <w:rFonts w:ascii="Century Gothic" w:cs="Century Gothic" w:eastAsia="Century Gothic" w:hAnsi="Century Gothic"/>
            <w:b w:val="1"/>
            <w:i w:val="1"/>
            <w:color w:val="1155cc"/>
            <w:u w:val="single"/>
            <w:rtl w:val="0"/>
          </w:rPr>
          <w:t xml:space="preserve">Return to triennial assessment document</w:t>
        </w:r>
      </w:hyperlink>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b w:val="1"/>
          <w:i w:val="1"/>
          <w:u w:val="single"/>
        </w:rPr>
      </w:pPr>
      <w:r w:rsidDel="00000000" w:rsidR="00000000" w:rsidRPr="00000000">
        <w:rPr>
          <w:rFonts w:ascii="Century Gothic" w:cs="Century Gothic" w:eastAsia="Century Gothic" w:hAnsi="Century Gothic"/>
          <w:b w:val="1"/>
          <w:i w:val="1"/>
          <w:u w:val="single"/>
        </w:rPr>
        <w:drawing>
          <wp:inline distB="114300" distT="114300" distL="114300" distR="114300">
            <wp:extent cx="1499858" cy="1530783"/>
            <wp:effectExtent b="0" l="0" r="0" t="0"/>
            <wp:docPr id="2" name="image1.png"/>
            <a:graphic>
              <a:graphicData uri="http://schemas.openxmlformats.org/drawingml/2006/picture">
                <pic:pic>
                  <pic:nvPicPr>
                    <pic:cNvPr id="0" name="image1.png"/>
                    <pic:cNvPicPr preferRelativeResize="0"/>
                  </pic:nvPicPr>
                  <pic:blipFill>
                    <a:blip r:embed="rId11"/>
                    <a:srcRect b="0" l="0" r="3096" t="0"/>
                    <a:stretch>
                      <a:fillRect/>
                    </a:stretch>
                  </pic:blipFill>
                  <pic:spPr>
                    <a:xfrm>
                      <a:off x="0" y="0"/>
                      <a:ext cx="1499858" cy="1530783"/>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b w:val="1"/>
          <w:i w:val="1"/>
          <w:u w:val="single"/>
        </w:rPr>
      </w:pPr>
      <w:r w:rsidDel="00000000" w:rsidR="00000000" w:rsidRPr="00000000">
        <w:rPr>
          <w:rFonts w:ascii="Century Gothic" w:cs="Century Gothic" w:eastAsia="Century Gothic" w:hAnsi="Century Gothic"/>
          <w:b w:val="1"/>
          <w:i w:val="1"/>
          <w:u w:val="single"/>
          <w:rtl w:val="0"/>
        </w:rPr>
        <w:t xml:space="preserve">Discussion/Notes:</w:t>
      </w:r>
    </w:p>
    <w:sectPr>
      <w:footerReference r:id="rId12" w:type="default"/>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after="0" w:line="240" w:lineRule="auto"/>
      <w:rPr/>
    </w:pPr>
    <w:r w:rsidDel="00000000" w:rsidR="00000000" w:rsidRPr="00000000">
      <w:rPr>
        <w:rtl w:val="0"/>
      </w:rPr>
      <w:t xml:space="preserve">Nebraska Department of Education, Office of Cooridnated Student Support Services</w:t>
    </w:r>
  </w:p>
  <w:p w:rsidR="00000000" w:rsidDel="00000000" w:rsidP="00000000" w:rsidRDefault="00000000" w:rsidRPr="00000000" w14:paraId="00000028">
    <w:pPr>
      <w:spacing w:after="0" w:lineRule="auto"/>
      <w:rPr>
        <w:i w:val="1"/>
        <w:sz w:val="16"/>
        <w:szCs w:val="16"/>
      </w:rPr>
    </w:pPr>
    <w:r w:rsidDel="00000000" w:rsidR="00000000" w:rsidRPr="00000000">
      <w:rPr>
        <w:i w:val="1"/>
        <w:sz w:val="16"/>
        <w:szCs w:val="16"/>
        <w:rtl w:val="0"/>
      </w:rPr>
      <w:t xml:space="preserve">Adapted from the Let’s Eat Healthy Program resources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GridTable4-Accent51" w:customStyle="1">
    <w:name w:val="Grid Table 4 - Accent 51"/>
    <w:basedOn w:val="TableNormal"/>
    <w:next w:val="GridTable4-Accent5"/>
    <w:uiPriority w:val="49"/>
    <w:rsid w:val="004E4FC0"/>
    <w:pPr>
      <w:spacing w:after="0" w:line="240" w:lineRule="auto"/>
    </w:pPr>
    <w:rPr>
      <w:rFonts w:eastAsia="Times New Roman"/>
    </w:rPr>
    <w:tblPr>
      <w:tblStyleRowBandSize w:val="1"/>
      <w:tblStyleColBandSize w:val="1"/>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themeColor="background1"/>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
    <w:name w:val="Grid Table 4 Accent 5"/>
    <w:basedOn w:val="TableNormal"/>
    <w:uiPriority w:val="49"/>
    <w:rsid w:val="004E4FC0"/>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NormalWeb">
    <w:name w:val="Normal (Web)"/>
    <w:basedOn w:val="Normal"/>
    <w:uiPriority w:val="99"/>
    <w:semiHidden w:val="1"/>
    <w:unhideWhenUsed w:val="1"/>
    <w:rsid w:val="00390D7E"/>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390D7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s://docs.google.com/document/d/1tsc8wzbs7MKy2l0N59wPjig_Z1-_ux0n/edit" TargetMode="External"/><Relationship Id="rId12" Type="http://schemas.openxmlformats.org/officeDocument/2006/relationships/footer" Target="footer1.xml"/><Relationship Id="rId9" Type="http://schemas.openxmlformats.org/officeDocument/2006/relationships/hyperlink" Target="https://www.wellsat.org/upload/docs/WellSAT%203.0%20Scoresheet.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de.qualtrics.com/jfe/form/SV_cFPQKIPTSvm1sNv" TargetMode="External"/><Relationship Id="rId8" Type="http://schemas.openxmlformats.org/officeDocument/2006/relationships/hyperlink" Target="https://nde.qualtrics.com/jfe/form/SV_cFPQKIPTSvm1sN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Ez5Ks6ROJBtoL9poEAiFd/wApw==">CgMxLjA4AHIhMW42d0d6ZmVHN3Y1NmlZS1dNNFlndEJ1c3d3azdEblhf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2022-10-03T14:38:00Z</dcterms:created>
  <dc:creator>MaryAnn Mills</dc:creator>
</cp:coreProperties>
</file>